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>
        <w:t>Estimado padre, madre o tutor:</w:t>
      </w:r>
    </w:p>
    <w:p w14:paraId="12F8B526" w14:textId="11142E19" w:rsidR="00B7400E" w:rsidRDefault="00B7400E" w:rsidP="00B7400E">
      <w:r>
        <w:t>Su hijo acaba de estar expuesto a la</w:t>
      </w:r>
      <w:r w:rsidR="003F16BC">
        <w:t xml:space="preserve"> </w:t>
      </w:r>
      <w:r>
        <w:rPr>
          <w:b/>
        </w:rPr>
        <w:t>mononucleosis</w:t>
      </w:r>
      <w:r>
        <w:t>, conocida comúnmente como “mono.” Es una enfermedad causada por el virus de Epstein-Barr.</w:t>
      </w:r>
    </w:p>
    <w:p w14:paraId="55006037" w14:textId="73F72781" w:rsidR="003E0F99" w:rsidRPr="00256A28" w:rsidRDefault="3C4D187E" w:rsidP="00B7400E">
      <w:r>
        <w:t>Los niños con mononucleosis normalmente no necesitan faltar a la escuela o centro de cuidado infantil. Si un niño está demasiado enfermo para participar en las actividades normales, debería quedarse en casa.</w:t>
      </w:r>
    </w:p>
    <w:p w14:paraId="6A4A35DD" w14:textId="6C661CD8" w:rsidR="00B7400E" w:rsidRPr="00B7400E" w:rsidRDefault="000158A8" w:rsidP="00B7400E">
      <w:pPr>
        <w:pStyle w:val="Heading1"/>
      </w:pPr>
      <w:r>
        <w:t>Síntomas</w:t>
      </w:r>
    </w:p>
    <w:p w14:paraId="463B18E2" w14:textId="6BB36BE8" w:rsidR="00B66954" w:rsidRDefault="00C570B4" w:rsidP="00B7400E">
      <w:r>
        <w:t>Los niños pequeños normalmente tienen pocos o ningún síntoma. Los niños mayores y los adultos pueden tener fiebre, dolor de garganta, fatiga y nódulos linfáticos inflamados. Los síntomas normalmente duran de 1 a 3 semanas.</w:t>
      </w:r>
    </w:p>
    <w:p w14:paraId="193DCCAA" w14:textId="14D3CB11" w:rsidR="00B7400E" w:rsidRPr="00256A28" w:rsidRDefault="000158A8" w:rsidP="00B7400E">
      <w:pPr>
        <w:pStyle w:val="Heading1"/>
      </w:pPr>
      <w:r>
        <w:t>Propagación</w:t>
      </w:r>
    </w:p>
    <w:p w14:paraId="4382E04F" w14:textId="3E4371AB" w:rsidR="00B66954" w:rsidRDefault="00A01EF5" w:rsidP="00B7400E">
      <w:pPr>
        <w:rPr>
          <w:rStyle w:val="hardreadability"/>
        </w:rPr>
      </w:pPr>
      <w:r>
        <w:rPr>
          <w:rStyle w:val="hardreadability"/>
        </w:rPr>
        <w:t>La mononucleosis se propaga mediante el contacto con la saliva de una persona infectada. La saliva puede transmitirse mediante el beso, compartir objetos como juguetes, tazas o botellas.</w:t>
      </w:r>
    </w:p>
    <w:p w14:paraId="4BF3843B" w14:textId="5F8C80CC" w:rsidR="00B7400E" w:rsidRPr="00256A28" w:rsidRDefault="000158A8" w:rsidP="00B7400E">
      <w:pPr>
        <w:pStyle w:val="Heading1"/>
      </w:pPr>
      <w:r>
        <w:t>Diagnóstico y tratamiento</w:t>
      </w:r>
    </w:p>
    <w:p w14:paraId="5059BE55" w14:textId="62658216" w:rsidR="00B66954" w:rsidRDefault="00294B75" w:rsidP="004B6056">
      <w:pPr>
        <w:rPr>
          <w:rStyle w:val="hardreadability"/>
        </w:rPr>
      </w:pPr>
      <w:r>
        <w:rPr>
          <w:rStyle w:val="hardreadability"/>
        </w:rPr>
        <w:t>Un proveedor de atención médica puede diagnosticarle mononucleosis con base en los síntomas. La prueba de sangre puede confirmar el diagnóstico. No hay ningún tratamiento específico disponible.</w:t>
      </w:r>
    </w:p>
    <w:p w14:paraId="08E16146" w14:textId="56E4C8F5" w:rsidR="00DC5F64" w:rsidRDefault="389A9C9F" w:rsidP="004B6056">
      <w:pPr>
        <w:rPr>
          <w:rStyle w:val="veryhardreadability"/>
        </w:rPr>
      </w:pPr>
      <w:r>
        <w:rPr>
          <w:rStyle w:val="hardreadability"/>
        </w:rPr>
        <w:t>Haga que su hijo esté cómodo y asegúrese de que descanse lo suficiente. La mayoría de</w:t>
      </w:r>
      <w:r w:rsidR="003F16BC">
        <w:rPr>
          <w:rStyle w:val="hardreadability"/>
        </w:rPr>
        <w:t xml:space="preserve"> los</w:t>
      </w:r>
      <w:r>
        <w:rPr>
          <w:rStyle w:val="hardreadability"/>
        </w:rPr>
        <w:t xml:space="preserve"> proveedores de atención médica recomiendan evitar los deportes de contacto hasta por un mes después de enfermarse. Hable con su proveedor de atención médica. Antes de volver a practicar deportes.</w:t>
      </w:r>
    </w:p>
    <w:p w14:paraId="10724547" w14:textId="0B273FBD" w:rsidR="00B7400E" w:rsidRPr="00256A28" w:rsidRDefault="000158A8" w:rsidP="00B7400E">
      <w:pPr>
        <w:pStyle w:val="Heading1"/>
      </w:pPr>
      <w:r>
        <w:t>Prevención</w:t>
      </w:r>
    </w:p>
    <w:p w14:paraId="460E348A" w14:textId="60A44A60" w:rsidR="00B66954" w:rsidRDefault="1A8AEDA5" w:rsidP="00B7400E">
      <w:r>
        <w:t>Para controlar la propagación de la mononucleosis:</w:t>
      </w:r>
    </w:p>
    <w:p w14:paraId="31815D08" w14:textId="19C62682" w:rsidR="002C1BAC" w:rsidRDefault="002C1BAC" w:rsidP="002C1BAC">
      <w:pPr>
        <w:pStyle w:val="ListParagraph"/>
        <w:numPr>
          <w:ilvl w:val="0"/>
          <w:numId w:val="12"/>
        </w:numPr>
      </w:pPr>
      <w:r>
        <w:t>Lávese bien las manos con frecuencia, con jabón y agua tibia.</w:t>
      </w:r>
    </w:p>
    <w:p w14:paraId="7B3D0807" w14:textId="61C016B3" w:rsidR="008B0DA2" w:rsidRDefault="008B0DA2" w:rsidP="002C1BAC">
      <w:pPr>
        <w:pStyle w:val="ListParagraph"/>
        <w:numPr>
          <w:ilvl w:val="0"/>
          <w:numId w:val="12"/>
        </w:numPr>
      </w:pPr>
      <w:r>
        <w:t>Evite compartir objetos contaminados con saliva, como tazas, utensilios y juguetes.</w:t>
      </w:r>
    </w:p>
    <w:p w14:paraId="1AEDF2E9" w14:textId="1D61AA3D" w:rsidR="008B0DA2" w:rsidRDefault="008B0DA2" w:rsidP="002C1BAC">
      <w:pPr>
        <w:pStyle w:val="ListParagraph"/>
        <w:numPr>
          <w:ilvl w:val="0"/>
          <w:numId w:val="12"/>
        </w:numPr>
      </w:pPr>
      <w:r>
        <w:t>Evite besar a los niños en la boca.</w:t>
      </w:r>
    </w:p>
    <w:p w14:paraId="1ADCC184" w14:textId="4FB24EBB" w:rsidR="008B0DA2" w:rsidRDefault="008B0DA2" w:rsidP="00220E72">
      <w:pPr>
        <w:pStyle w:val="ListParagraph"/>
        <w:numPr>
          <w:ilvl w:val="0"/>
          <w:numId w:val="12"/>
        </w:numPr>
      </w:pPr>
      <w:r>
        <w:t>Limpie y desinfecte los juguetes, utensilios cada vez que los use el niño.</w:t>
      </w:r>
    </w:p>
    <w:p w14:paraId="027F513A" w14:textId="3747A13D" w:rsidR="00B7400E" w:rsidRPr="00256A28" w:rsidRDefault="00B33E49" w:rsidP="00B7400E">
      <w:pPr>
        <w:pStyle w:val="Heading1"/>
      </w:pPr>
      <w:r>
        <w:t>Conozca más</w:t>
      </w:r>
    </w:p>
    <w:p w14:paraId="25FBA977" w14:textId="5F422C73" w:rsidR="000A3CBE" w:rsidRDefault="00B33E49" w:rsidP="00B7400E">
      <w:r>
        <w:t>Para obtener más información, comuníquese con su proveedor de atención médica.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FB556" w14:textId="77777777" w:rsidR="009E17E9" w:rsidRDefault="009E17E9" w:rsidP="00340AC8">
      <w:r>
        <w:separator/>
      </w:r>
    </w:p>
  </w:endnote>
  <w:endnote w:type="continuationSeparator" w:id="0">
    <w:p w14:paraId="348102D9" w14:textId="77777777" w:rsidR="009E17E9" w:rsidRDefault="009E17E9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F427B9" w14:paraId="2FACDDA0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9D9B8B1" w14:textId="77777777" w:rsidR="00681F6C" w:rsidRDefault="00681F6C" w:rsidP="00681F6C">
          <w:pPr>
            <w:pStyle w:val="Footer"/>
          </w:pPr>
          <w:proofErr w:type="spellStart"/>
          <w:r>
            <w:t>Adapted</w:t>
          </w:r>
          <w:proofErr w:type="spellEnd"/>
          <w:r>
            <w:t xml:space="preserve"> </w:t>
          </w:r>
          <w:proofErr w:type="spellStart"/>
          <w:r>
            <w:t>with</w:t>
          </w:r>
          <w:proofErr w:type="spellEnd"/>
          <w:r>
            <w:t xml:space="preserve"> </w:t>
          </w:r>
          <w:proofErr w:type="spellStart"/>
          <w:r>
            <w:t>permission</w:t>
          </w:r>
          <w:proofErr w:type="spellEnd"/>
          <w:r>
            <w:t xml:space="preserve"> </w:t>
          </w:r>
          <w:proofErr w:type="spellStart"/>
          <w:r>
            <w:t>from</w:t>
          </w:r>
          <w:proofErr w:type="spellEnd"/>
          <w:r>
            <w:t xml:space="preserve"> Tacoma-Pierce County</w:t>
          </w:r>
        </w:p>
        <w:p w14:paraId="322E9433" w14:textId="508F1479" w:rsidR="00F427B9" w:rsidRDefault="00681F6C" w:rsidP="00681F6C">
          <w:pPr>
            <w:pStyle w:val="Footer"/>
          </w:pPr>
          <w:r>
            <w:t xml:space="preserve">Health Department | </w:t>
          </w:r>
          <w:proofErr w:type="spellStart"/>
          <w:r>
            <w:t>Revised</w:t>
          </w:r>
          <w:proofErr w:type="spellEnd"/>
          <w:r>
            <w:t xml:space="preserve"> </w:t>
          </w:r>
          <w:proofErr w:type="spellStart"/>
          <w:r>
            <w:t>September</w:t>
          </w:r>
          <w:proofErr w:type="spellEnd"/>
          <w:r>
            <w:t xml:space="preserve">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3FF83242" w14:textId="77777777" w:rsidR="00F427B9" w:rsidRDefault="00F427B9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0429BD7" wp14:editId="76616F1A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BF2030" w14:textId="77777777" w:rsidR="00F427B9" w:rsidRPr="003E2AFF" w:rsidRDefault="00F427B9" w:rsidP="00F427B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65A50" w14:textId="77777777" w:rsidR="009E17E9" w:rsidRDefault="009E17E9" w:rsidP="00340AC8">
      <w:r>
        <w:separator/>
      </w:r>
    </w:p>
  </w:footnote>
  <w:footnote w:type="continuationSeparator" w:id="0">
    <w:p w14:paraId="434B531F" w14:textId="77777777" w:rsidR="009E17E9" w:rsidRDefault="009E17E9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6B80" w14:textId="77777777" w:rsidR="00F427B9" w:rsidRDefault="00F427B9" w:rsidP="00F427B9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5FA5D654" wp14:editId="781C43A2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50F05F" w14:textId="24C15C7E" w:rsidR="00F427B9" w:rsidRPr="00F926E7" w:rsidRDefault="00D263B2" w:rsidP="00F427B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D263B2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Mononucleosis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FA5D65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3C50F05F" w14:textId="24C15C7E" w:rsidR="00F427B9" w:rsidRPr="00F926E7" w:rsidRDefault="00D263B2" w:rsidP="00F427B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D263B2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Mononucleosis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8090D"/>
    <w:multiLevelType w:val="hybridMultilevel"/>
    <w:tmpl w:val="E122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6"/>
  </w:num>
  <w:num w:numId="12" w16cid:durableId="1037705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7415D"/>
    <w:rsid w:val="000A3CBE"/>
    <w:rsid w:val="000F720E"/>
    <w:rsid w:val="00133CAC"/>
    <w:rsid w:val="00184693"/>
    <w:rsid w:val="00193C8B"/>
    <w:rsid w:val="001E3815"/>
    <w:rsid w:val="001F4F14"/>
    <w:rsid w:val="00220E72"/>
    <w:rsid w:val="00294B75"/>
    <w:rsid w:val="002A5843"/>
    <w:rsid w:val="002B39AA"/>
    <w:rsid w:val="002C1BAC"/>
    <w:rsid w:val="002C1D5F"/>
    <w:rsid w:val="003331F9"/>
    <w:rsid w:val="00340706"/>
    <w:rsid w:val="00340AC8"/>
    <w:rsid w:val="00375444"/>
    <w:rsid w:val="00390CF2"/>
    <w:rsid w:val="003B5749"/>
    <w:rsid w:val="003B5C7E"/>
    <w:rsid w:val="003B67C7"/>
    <w:rsid w:val="003E0F99"/>
    <w:rsid w:val="003E57E4"/>
    <w:rsid w:val="003F16BC"/>
    <w:rsid w:val="004371EF"/>
    <w:rsid w:val="00457B5C"/>
    <w:rsid w:val="00475EB7"/>
    <w:rsid w:val="00492294"/>
    <w:rsid w:val="004A0714"/>
    <w:rsid w:val="004B6056"/>
    <w:rsid w:val="00534E2E"/>
    <w:rsid w:val="005919A8"/>
    <w:rsid w:val="005B29A0"/>
    <w:rsid w:val="005D493D"/>
    <w:rsid w:val="005E3F61"/>
    <w:rsid w:val="00670AF6"/>
    <w:rsid w:val="00677BEF"/>
    <w:rsid w:val="00681F6C"/>
    <w:rsid w:val="006A7BC7"/>
    <w:rsid w:val="006C1B0E"/>
    <w:rsid w:val="006E1FAB"/>
    <w:rsid w:val="006E35A5"/>
    <w:rsid w:val="00704441"/>
    <w:rsid w:val="007136E8"/>
    <w:rsid w:val="00734EAB"/>
    <w:rsid w:val="007A367B"/>
    <w:rsid w:val="007A3808"/>
    <w:rsid w:val="007A58DB"/>
    <w:rsid w:val="007D66AB"/>
    <w:rsid w:val="007D7E7F"/>
    <w:rsid w:val="008000F6"/>
    <w:rsid w:val="00815C72"/>
    <w:rsid w:val="00831A89"/>
    <w:rsid w:val="008333E3"/>
    <w:rsid w:val="00833850"/>
    <w:rsid w:val="00882AAE"/>
    <w:rsid w:val="008B0DA2"/>
    <w:rsid w:val="008C48B0"/>
    <w:rsid w:val="008D7E84"/>
    <w:rsid w:val="00910EBD"/>
    <w:rsid w:val="009118A8"/>
    <w:rsid w:val="00955B18"/>
    <w:rsid w:val="009651A8"/>
    <w:rsid w:val="009962CE"/>
    <w:rsid w:val="009E17E9"/>
    <w:rsid w:val="00A01EF5"/>
    <w:rsid w:val="00A1134E"/>
    <w:rsid w:val="00A37D4E"/>
    <w:rsid w:val="00A70FFF"/>
    <w:rsid w:val="00B33E49"/>
    <w:rsid w:val="00B66954"/>
    <w:rsid w:val="00B7400E"/>
    <w:rsid w:val="00BE236F"/>
    <w:rsid w:val="00C216BC"/>
    <w:rsid w:val="00C320B0"/>
    <w:rsid w:val="00C570B4"/>
    <w:rsid w:val="00C62D6B"/>
    <w:rsid w:val="00C72290"/>
    <w:rsid w:val="00C90A2D"/>
    <w:rsid w:val="00CC0FCF"/>
    <w:rsid w:val="00CE7F97"/>
    <w:rsid w:val="00D263B2"/>
    <w:rsid w:val="00D712E1"/>
    <w:rsid w:val="00D915B9"/>
    <w:rsid w:val="00DA0065"/>
    <w:rsid w:val="00DA0388"/>
    <w:rsid w:val="00DB7363"/>
    <w:rsid w:val="00DC5BF7"/>
    <w:rsid w:val="00DC5F64"/>
    <w:rsid w:val="00DD5A8F"/>
    <w:rsid w:val="00DD5F5F"/>
    <w:rsid w:val="00E269D7"/>
    <w:rsid w:val="00E6750C"/>
    <w:rsid w:val="00E67566"/>
    <w:rsid w:val="00E81E37"/>
    <w:rsid w:val="00E8750B"/>
    <w:rsid w:val="00F07E50"/>
    <w:rsid w:val="00F33F34"/>
    <w:rsid w:val="00F427B9"/>
    <w:rsid w:val="00FF142F"/>
    <w:rsid w:val="02DC1D95"/>
    <w:rsid w:val="1A8AEDA5"/>
    <w:rsid w:val="1D524B1C"/>
    <w:rsid w:val="324BBB83"/>
    <w:rsid w:val="342A8376"/>
    <w:rsid w:val="389A9C9F"/>
    <w:rsid w:val="3C4D187E"/>
    <w:rsid w:val="4185FB3F"/>
    <w:rsid w:val="430EC619"/>
    <w:rsid w:val="45EA7206"/>
    <w:rsid w:val="4B2EA47C"/>
    <w:rsid w:val="4CDCF0CF"/>
    <w:rsid w:val="4EFA2F88"/>
    <w:rsid w:val="65C888E7"/>
    <w:rsid w:val="6671E358"/>
    <w:rsid w:val="75AAED04"/>
    <w:rsid w:val="77A14F3D"/>
    <w:rsid w:val="7AC6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6A13A-9424-4C5B-9369-62C3BA32B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4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35</cp:revision>
  <dcterms:created xsi:type="dcterms:W3CDTF">2024-09-18T23:48:00Z</dcterms:created>
  <dcterms:modified xsi:type="dcterms:W3CDTF">2024-12-17T22:48:00Z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